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both"/>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9"/>
        <w:spacing w:line="540" w:lineRule="exact"/>
        <w:jc w:val="center"/>
        <w:rPr>
          <w:rFonts w:ascii="华文中宋" w:hAnsi="华文中宋" w:eastAsia="华文中宋" w:cs="华文中宋"/>
          <w:b/>
          <w:bCs/>
          <w:kern w:val="0"/>
          <w:sz w:val="52"/>
          <w:szCs w:val="52"/>
        </w:rPr>
      </w:pPr>
    </w:p>
    <w:p>
      <w:pPr>
        <w:pStyle w:val="49"/>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540" w:lineRule="exact"/>
        <w:jc w:val="center"/>
        <w:rPr>
          <w:kern w:val="0"/>
          <w:sz w:val="30"/>
          <w:szCs w:val="30"/>
        </w:rPr>
      </w:pPr>
    </w:p>
    <w:p>
      <w:pPr>
        <w:pStyle w:val="49"/>
        <w:spacing w:line="700" w:lineRule="exact"/>
        <w:ind w:firstLine="720" w:firstLineChars="200"/>
        <w:jc w:val="left"/>
        <w:rPr>
          <w:rFonts w:hint="eastAsia" w:hAnsi="宋体" w:eastAsia="仿宋_GB2312" w:cs="宋体"/>
          <w:kern w:val="0"/>
          <w:sz w:val="36"/>
          <w:szCs w:val="3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en-US" w:eastAsia="zh-CN"/>
        </w:rPr>
        <w:t>：</w:t>
      </w:r>
      <w:r>
        <w:rPr>
          <w:rFonts w:hint="eastAsia" w:hAnsi="宋体" w:eastAsia="仿宋_GB2312" w:cs="宋体"/>
          <w:kern w:val="0"/>
          <w:sz w:val="36"/>
          <w:szCs w:val="36"/>
        </w:rPr>
        <w:t>政法转移支付资金业务装备与办案业务经费项目</w:t>
      </w:r>
    </w:p>
    <w:p>
      <w:pPr>
        <w:pStyle w:val="49"/>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塔什库尔</w:t>
      </w:r>
      <w:r>
        <w:rPr>
          <w:rFonts w:hint="eastAsia" w:ascii="仿宋_GB2312" w:hAnsi="仿宋_GB2312" w:eastAsia="仿宋_GB2312" w:cs="仿宋_GB2312"/>
          <w:kern w:val="0"/>
          <w:sz w:val="36"/>
          <w:szCs w:val="36"/>
          <w:lang w:val="zh-TW" w:eastAsia="zh-CN"/>
        </w:rPr>
        <w:t>干县</w:t>
      </w:r>
      <w:r>
        <w:rPr>
          <w:rFonts w:hint="eastAsia" w:ascii="仿宋_GB2312" w:hAnsi="仿宋_GB2312" w:eastAsia="仿宋_GB2312" w:cs="仿宋_GB2312"/>
          <w:kern w:val="0"/>
          <w:sz w:val="36"/>
          <w:szCs w:val="36"/>
          <w:lang w:val="zh-TW"/>
        </w:rPr>
        <w:t>人民检察院</w:t>
      </w:r>
    </w:p>
    <w:p>
      <w:pPr>
        <w:pStyle w:val="49"/>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塔什库尔</w:t>
      </w:r>
      <w:r>
        <w:rPr>
          <w:rFonts w:hint="eastAsia" w:ascii="仿宋_GB2312" w:hAnsi="仿宋_GB2312" w:eastAsia="仿宋_GB2312" w:cs="仿宋_GB2312"/>
          <w:kern w:val="0"/>
          <w:sz w:val="36"/>
          <w:szCs w:val="36"/>
          <w:lang w:val="zh-TW" w:eastAsia="zh-CN"/>
        </w:rPr>
        <w:t>干县人民政府</w:t>
      </w:r>
    </w:p>
    <w:p>
      <w:pPr>
        <w:pStyle w:val="49"/>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张东平</w:t>
      </w:r>
    </w:p>
    <w:p>
      <w:pPr>
        <w:pStyle w:val="49"/>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 xml:space="preserve"> </w:t>
      </w:r>
      <w:r>
        <w:rPr>
          <w:rFonts w:hint="eastAsia" w:ascii="仿宋_GB2312" w:hAnsi="仿宋_GB2312" w:eastAsia="仿宋_GB2312" w:cs="仿宋_GB2312"/>
          <w:kern w:val="0"/>
          <w:sz w:val="36"/>
          <w:szCs w:val="36"/>
          <w:lang w:val="en-US" w:eastAsia="zh-CN"/>
        </w:rPr>
        <w:t>12</w:t>
      </w:r>
      <w:r>
        <w:rPr>
          <w:rFonts w:hint="eastAsia" w:ascii="仿宋_GB2312" w:hAnsi="仿宋_GB2312" w:eastAsia="仿宋_GB2312" w:cs="仿宋_GB2312"/>
          <w:kern w:val="0"/>
          <w:sz w:val="36"/>
          <w:szCs w:val="36"/>
          <w:lang w:val="zh-TW"/>
        </w:rPr>
        <w:t xml:space="preserve"> </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31</w:t>
      </w:r>
      <w:r>
        <w:rPr>
          <w:rFonts w:ascii="仿宋_GB2312" w:hAnsi="仿宋_GB2312" w:eastAsia="仿宋_GB2312" w:cs="仿宋_GB2312"/>
          <w:kern w:val="0"/>
          <w:sz w:val="36"/>
          <w:szCs w:val="36"/>
          <w:lang w:val="zh-TW" w:eastAsia="zh-TW"/>
        </w:rPr>
        <w:t>日</w:t>
      </w:r>
    </w:p>
    <w:p>
      <w:pPr>
        <w:pStyle w:val="49"/>
        <w:spacing w:line="700" w:lineRule="exact"/>
        <w:ind w:firstLine="624" w:firstLineChars="200"/>
        <w:jc w:val="left"/>
        <w:rPr>
          <w:rStyle w:val="20"/>
          <w:rFonts w:hint="eastAsia" w:ascii="黑体" w:hAnsi="黑体" w:eastAsia="黑体"/>
          <w:b w:val="0"/>
          <w:spacing w:val="-4"/>
          <w:sz w:val="32"/>
          <w:szCs w:val="32"/>
        </w:rPr>
      </w:pPr>
    </w:p>
    <w:p>
      <w:pPr>
        <w:pStyle w:val="49"/>
        <w:spacing w:line="700" w:lineRule="exact"/>
        <w:ind w:firstLine="624" w:firstLineChars="200"/>
        <w:jc w:val="left"/>
        <w:rPr>
          <w:rStyle w:val="20"/>
          <w:rFonts w:ascii="黑体" w:hAnsi="黑体" w:eastAsia="黑体"/>
          <w:b w:val="0"/>
          <w:spacing w:val="-4"/>
          <w:sz w:val="32"/>
          <w:szCs w:val="32"/>
        </w:rPr>
      </w:pPr>
      <w:r>
        <w:rPr>
          <w:rStyle w:val="20"/>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（一）项目单位基本情况</w:t>
      </w:r>
    </w:p>
    <w:p>
      <w:pPr>
        <w:pStyle w:val="16"/>
        <w:shd w:val="clear" w:color="auto" w:fill="FFFFFF"/>
        <w:spacing w:before="0" w:beforeAutospacing="0" w:after="0" w:line="520" w:lineRule="exact"/>
        <w:ind w:firstLine="600" w:firstLineChars="200"/>
        <w:rPr>
          <w:rFonts w:ascii="仿宋_GB2312" w:hAnsi="Arial" w:eastAsia="仿宋_GB2312" w:cs="Arial"/>
          <w:sz w:val="32"/>
          <w:szCs w:val="32"/>
        </w:rPr>
      </w:pPr>
      <w:r>
        <w:rPr>
          <w:rFonts w:hint="eastAsia" w:ascii="仿宋_GB2312" w:eastAsia="仿宋_GB2312"/>
          <w:sz w:val="30"/>
          <w:szCs w:val="30"/>
        </w:rPr>
        <w:t>单位性质为行政单位，全额拨款单位，执行会计制度为行政会计制度。</w:t>
      </w:r>
      <w:r>
        <w:rPr>
          <w:rFonts w:hint="eastAsia" w:ascii="仿宋_GB2312" w:hAnsi="Arial" w:eastAsia="仿宋_GB2312" w:cs="Arial"/>
          <w:sz w:val="32"/>
          <w:szCs w:val="32"/>
        </w:rPr>
        <w:t>编制人数 17人，其中：行政人员编制17人，参照公务员管理的事业单位人员编制0人，全额拨款事业单位人员编制0人。</w:t>
      </w:r>
    </w:p>
    <w:p>
      <w:pPr>
        <w:pStyle w:val="16"/>
        <w:shd w:val="clear" w:color="auto" w:fill="FFFFFF"/>
        <w:spacing w:before="0" w:beforeAutospacing="0" w:after="0" w:line="520" w:lineRule="exact"/>
        <w:ind w:firstLine="640" w:firstLineChars="200"/>
        <w:rPr>
          <w:rStyle w:val="20"/>
          <w:rFonts w:ascii="仿宋_GB2312" w:hAnsi="Arial" w:eastAsia="仿宋_GB2312" w:cs="Arial"/>
          <w:b w:val="0"/>
          <w:bCs w:val="0"/>
          <w:sz w:val="32"/>
          <w:szCs w:val="32"/>
        </w:rPr>
      </w:pPr>
      <w:r>
        <w:rPr>
          <w:rFonts w:hint="eastAsia" w:ascii="仿宋_GB2312" w:hAnsi="Arial" w:eastAsia="仿宋_GB2312" w:cs="Arial"/>
          <w:sz w:val="32"/>
          <w:szCs w:val="32"/>
        </w:rPr>
        <w:t xml:space="preserve">实有在职人数17人，其中：行政在职16人，参照公务员管理的事业单位人员0人，事业在职 0人，工勤在职人数  1人。离退休人员12人，其中：离休人员0人，退休人员 12人。 </w:t>
      </w:r>
    </w:p>
    <w:p>
      <w:pPr>
        <w:adjustRightInd w:val="0"/>
        <w:snapToGrid w:val="0"/>
        <w:spacing w:line="560" w:lineRule="exact"/>
        <w:ind w:firstLine="627" w:firstLineChars="200"/>
        <w:rPr>
          <w:rStyle w:val="20"/>
          <w:rFonts w:ascii="楷体" w:hAnsi="楷体" w:eastAsia="楷体"/>
          <w:spacing w:val="-4"/>
          <w:sz w:val="32"/>
          <w:szCs w:val="32"/>
        </w:rPr>
      </w:pPr>
      <w:r>
        <w:rPr>
          <w:rStyle w:val="20"/>
          <w:rFonts w:hint="eastAsia" w:ascii="楷体" w:hAnsi="楷体" w:eastAsia="楷体"/>
          <w:spacing w:val="-4"/>
          <w:sz w:val="32"/>
          <w:szCs w:val="32"/>
        </w:rPr>
        <w:t>（二）项目预算</w:t>
      </w:r>
      <w:r>
        <w:rPr>
          <w:rStyle w:val="20"/>
          <w:rFonts w:ascii="楷体" w:hAnsi="楷体" w:eastAsia="楷体"/>
          <w:spacing w:val="-4"/>
          <w:sz w:val="32"/>
          <w:szCs w:val="32"/>
        </w:rPr>
        <w:t>绩效目标</w:t>
      </w:r>
      <w:r>
        <w:rPr>
          <w:rStyle w:val="20"/>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通过改进技术装备，提高办案效率和办案质量来体现法律的公平正义，提高办案的法律效果和社会效果。强化法律监督，维护公平正义。深入践行“让检察机关成为良好经济发展环境重要组成部分”的理念，努力服务大局，保障大局。充分履行职责。</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val="en-US" w:eastAsia="zh-CN"/>
        </w:rPr>
        <w:t>该项目属于</w:t>
      </w:r>
      <w:r>
        <w:rPr>
          <w:rFonts w:hint="eastAsia" w:ascii="仿宋" w:hAnsi="仿宋" w:eastAsia="仿宋"/>
          <w:bCs/>
          <w:color w:val="000000" w:themeColor="text1"/>
          <w:spacing w:val="-4"/>
          <w:sz w:val="32"/>
          <w:szCs w:val="32"/>
        </w:rPr>
        <w:t>延续性项目</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40" w:lineRule="exact"/>
        <w:ind w:firstLine="640" w:firstLineChars="200"/>
        <w:rPr>
          <w:rStyle w:val="20"/>
          <w:rFonts w:ascii="楷体" w:hAnsi="楷体" w:eastAsia="楷体"/>
          <w:spacing w:val="-4"/>
          <w:sz w:val="32"/>
          <w:szCs w:val="32"/>
        </w:rPr>
      </w:pPr>
      <w:r>
        <w:rPr>
          <w:rFonts w:hint="eastAsia" w:ascii="仿宋_GB2312" w:eastAsia="仿宋_GB2312"/>
          <w:color w:val="000000"/>
          <w:sz w:val="32"/>
          <w:szCs w:val="32"/>
        </w:rPr>
        <w:t>主要用于开展检察院办理相关业务工作和办案等支出。经费的使用为检察工作提供了保障。开展检察院机要通道升级设备和服务中心工程款等业务装备购置等支出。经费的使用保障了业务办公及专业设备需求。</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（一）项目资金安排落实、总投入等情况分析</w:t>
      </w:r>
    </w:p>
    <w:p>
      <w:pPr>
        <w:spacing w:line="540" w:lineRule="exact"/>
        <w:ind w:firstLine="624" w:firstLineChars="200"/>
        <w:rPr>
          <w:rFonts w:ascii="楷体" w:hAnsi="楷体" w:eastAsia="楷体"/>
          <w:b/>
          <w:bCs/>
          <w:spacing w:val="-4"/>
          <w:sz w:val="32"/>
          <w:szCs w:val="32"/>
        </w:rPr>
      </w:pPr>
      <w:r>
        <w:rPr>
          <w:rStyle w:val="20"/>
          <w:rFonts w:hint="eastAsia" w:ascii="仿宋" w:hAnsi="仿宋" w:eastAsia="仿宋"/>
          <w:b w:val="0"/>
          <w:spacing w:val="-4"/>
          <w:sz w:val="32"/>
          <w:szCs w:val="32"/>
        </w:rPr>
        <w:t>资金通过财政全额拨款，总投入资金93.29万元，用于</w:t>
      </w:r>
      <w:r>
        <w:rPr>
          <w:rFonts w:hint="eastAsia" w:ascii="仿宋_GB2312" w:eastAsia="仿宋_GB2312"/>
          <w:color w:val="000000"/>
          <w:sz w:val="32"/>
          <w:szCs w:val="32"/>
        </w:rPr>
        <w:t>开展检察院办理相关业务工作和办案等支出。经费的使用为检察工作提供了保障。开展检察院机要通道升级设备和服务中心工程款等业务装备购置等支出。经费的使用保障了业务办公及专业设备需求。</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（二）项目资金实际使用情况分析</w:t>
      </w:r>
    </w:p>
    <w:p>
      <w:pPr>
        <w:spacing w:line="54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Style w:val="20"/>
          <w:rFonts w:hint="eastAsia" w:ascii="仿宋" w:hAnsi="仿宋" w:eastAsia="仿宋"/>
          <w:b w:val="0"/>
          <w:spacing w:val="-4"/>
          <w:sz w:val="32"/>
          <w:szCs w:val="32"/>
        </w:rPr>
        <w:t>93.29万元，用于</w:t>
      </w:r>
      <w:r>
        <w:rPr>
          <w:rFonts w:hint="eastAsia" w:ascii="仿宋_GB2312" w:eastAsia="仿宋_GB2312"/>
          <w:color w:val="000000"/>
          <w:sz w:val="32"/>
          <w:szCs w:val="32"/>
        </w:rPr>
        <w:t>开展检察院办理相关业务工作和办案等支出。经费的使用为检察工作提供了保障。开展检察院机要通道升级设备和服务中心工程款等业务装备购置等支出。经费的使用保障了业务办公及专业设备需求，</w:t>
      </w:r>
      <w:r>
        <w:rPr>
          <w:rStyle w:val="20"/>
          <w:rFonts w:hint="eastAsia" w:ascii="仿宋" w:hAnsi="仿宋" w:eastAsia="仿宋"/>
          <w:b w:val="0"/>
          <w:spacing w:val="-4"/>
          <w:sz w:val="32"/>
          <w:szCs w:val="32"/>
        </w:rPr>
        <w:t>检察工作后勤保障方面31万元，（日常办公经费方面、车辆运行维修等）相关设备及业务活动经费62.29万元（检察院设备、办案所需相关的培训活动经费等），预算执行率100%。</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（三）项目资金管理情况分析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_GB2312" w:hAnsi="楷体_GB2312" w:eastAsia="仿宋_GB2312" w:cs="楷体_GB2312"/>
          <w:sz w:val="32"/>
          <w:szCs w:val="32"/>
        </w:rPr>
        <w:t>此项资金根据财政统一安排，实施国库集中支付，</w:t>
      </w:r>
      <w:r>
        <w:rPr>
          <w:rFonts w:hint="eastAsia" w:ascii="仿宋_GB2312" w:hAnsi="仿宋_GB2312" w:eastAsia="仿宋_GB2312" w:cs="仿宋_GB2312"/>
          <w:bCs/>
          <w:sz w:val="32"/>
          <w:szCs w:val="32"/>
        </w:rPr>
        <w:t>严格按照财政资金审批制度实施执行，</w:t>
      </w:r>
      <w:r>
        <w:rPr>
          <w:rFonts w:hint="eastAsia" w:ascii="仿宋" w:hAnsi="仿宋" w:eastAsia="仿宋"/>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20"/>
          <w:rFonts w:ascii="楷体" w:hAnsi="楷体" w:eastAsia="楷体"/>
          <w:spacing w:val="-4"/>
          <w:sz w:val="32"/>
          <w:szCs w:val="32"/>
        </w:rPr>
      </w:pPr>
      <w:r>
        <w:rPr>
          <w:rStyle w:val="20"/>
          <w:rFonts w:hint="eastAsia" w:ascii="楷体" w:hAnsi="楷体" w:eastAsia="楷体"/>
          <w:spacing w:val="-4"/>
          <w:sz w:val="32"/>
          <w:szCs w:val="32"/>
        </w:rPr>
        <w:t>（一）项目组织情况分析</w:t>
      </w:r>
    </w:p>
    <w:p>
      <w:pPr>
        <w:spacing w:line="500" w:lineRule="exact"/>
        <w:ind w:firstLine="624" w:firstLineChars="200"/>
        <w:rPr>
          <w:rStyle w:val="20"/>
          <w:rFonts w:ascii="仿宋" w:hAnsi="仿宋" w:eastAsia="仿宋"/>
          <w:b w:val="0"/>
          <w:bCs w:val="0"/>
          <w:spacing w:val="-4"/>
          <w:sz w:val="32"/>
          <w:szCs w:val="32"/>
        </w:rPr>
      </w:pPr>
      <w:r>
        <w:rPr>
          <w:rStyle w:val="20"/>
          <w:rFonts w:hint="eastAsia" w:ascii="仿宋" w:hAnsi="仿宋" w:eastAsia="仿宋"/>
          <w:b w:val="0"/>
          <w:spacing w:val="-4"/>
          <w:sz w:val="32"/>
          <w:szCs w:val="32"/>
        </w:rPr>
        <w:t>项目资金于9月份到位后，立即形成报告明细，明确资金的使用范围，并形成报告上报县财经领导小组批准使用。资金不存在调整情况，</w:t>
      </w:r>
      <w:r>
        <w:rPr>
          <w:rStyle w:val="20"/>
          <w:rFonts w:hint="eastAsia" w:ascii="仿宋" w:hAnsi="仿宋" w:eastAsia="仿宋"/>
          <w:b w:val="0"/>
          <w:color w:val="000000" w:themeColor="text1"/>
          <w:spacing w:val="-4"/>
          <w:sz w:val="32"/>
          <w:szCs w:val="32"/>
        </w:rPr>
        <w:t>本项目不存在检查验收程序</w:t>
      </w:r>
    </w:p>
    <w:p>
      <w:pPr>
        <w:numPr>
          <w:ilvl w:val="0"/>
          <w:numId w:val="1"/>
        </w:numPr>
        <w:adjustRightInd w:val="0"/>
        <w:snapToGrid w:val="0"/>
        <w:spacing w:line="560" w:lineRule="exact"/>
        <w:ind w:firstLine="627" w:firstLineChars="200"/>
        <w:outlineLvl w:val="0"/>
        <w:rPr>
          <w:rStyle w:val="20"/>
          <w:rFonts w:hint="eastAsia" w:ascii="楷体" w:hAnsi="楷体" w:eastAsia="楷体"/>
          <w:spacing w:val="-4"/>
          <w:sz w:val="32"/>
          <w:szCs w:val="32"/>
        </w:rPr>
      </w:pPr>
      <w:r>
        <w:rPr>
          <w:rStyle w:val="20"/>
          <w:rFonts w:hint="eastAsia" w:ascii="楷体" w:hAnsi="楷体" w:eastAsia="楷体"/>
          <w:spacing w:val="-4"/>
          <w:sz w:val="32"/>
          <w:szCs w:val="32"/>
        </w:rPr>
        <w:t>项目管理情况分析</w:t>
      </w:r>
    </w:p>
    <w:p>
      <w:pPr>
        <w:adjustRightInd w:val="0"/>
        <w:snapToGrid w:val="0"/>
        <w:spacing w:line="560" w:lineRule="exact"/>
        <w:ind w:firstLine="624" w:firstLineChars="200"/>
      </w:pPr>
      <w:r>
        <w:rPr>
          <w:rFonts w:hint="eastAsia" w:ascii="仿宋" w:hAnsi="仿宋" w:eastAsia="仿宋"/>
          <w:bCs/>
          <w:spacing w:val="-4"/>
          <w:sz w:val="32"/>
          <w:szCs w:val="32"/>
        </w:rPr>
        <w:t>项目实施过程中，按照实施方案保障项目的顺利实施。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20"/>
          <w:rFonts w:ascii="黑体" w:hAnsi="黑体" w:eastAsia="黑体"/>
        </w:rPr>
      </w:pPr>
      <w:r>
        <w:rPr>
          <w:rStyle w:val="20"/>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20"/>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bookmarkStart w:id="0" w:name="_GoBack"/>
      <w:r>
        <w:rPr>
          <w:rFonts w:hint="eastAsia" w:ascii="仿宋" w:hAnsi="仿宋" w:eastAsia="仿宋"/>
          <w:color w:val="000000" w:themeColor="text1"/>
          <w:spacing w:val="-4"/>
          <w:sz w:val="32"/>
          <w:szCs w:val="32"/>
        </w:rPr>
        <w:t>本项目共设置一级指标3个，二级指标</w:t>
      </w:r>
      <w:r>
        <w:rPr>
          <w:rFonts w:hint="eastAsia" w:ascii="仿宋" w:hAnsi="仿宋" w:eastAsia="仿宋"/>
          <w:color w:val="000000" w:themeColor="text1"/>
          <w:spacing w:val="-4"/>
          <w:sz w:val="32"/>
          <w:szCs w:val="32"/>
          <w:lang w:val="en-US" w:eastAsia="zh-CN"/>
        </w:rPr>
        <w:t>9</w:t>
      </w:r>
      <w:r>
        <w:rPr>
          <w:rFonts w:hint="eastAsia" w:ascii="仿宋" w:hAnsi="仿宋" w:eastAsia="仿宋"/>
          <w:color w:val="000000" w:themeColor="text1"/>
          <w:spacing w:val="-4"/>
          <w:sz w:val="32"/>
          <w:szCs w:val="32"/>
        </w:rPr>
        <w:t>个，三级指标11个，其中已完成三级指标11个，指标完成率为99%。</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lang w:eastAsia="zh-CN"/>
        </w:rPr>
        <w:t>其中</w:t>
      </w:r>
      <w:r>
        <w:rPr>
          <w:rFonts w:hint="eastAsia" w:ascii="仿宋" w:hAnsi="仿宋" w:eastAsia="仿宋"/>
          <w:color w:val="000000" w:themeColor="text1"/>
          <w:spacing w:val="-4"/>
          <w:sz w:val="32"/>
          <w:szCs w:val="32"/>
        </w:rPr>
        <w:t>数量指标</w:t>
      </w:r>
      <w:r>
        <w:rPr>
          <w:rFonts w:hint="eastAsia" w:ascii="仿宋" w:hAnsi="仿宋" w:eastAsia="仿宋"/>
          <w:color w:val="000000" w:themeColor="text1"/>
          <w:spacing w:val="-4"/>
          <w:sz w:val="32"/>
          <w:szCs w:val="32"/>
          <w:lang w:val="en-US" w:eastAsia="zh-CN"/>
        </w:rPr>
        <w:t>:</w:t>
      </w:r>
      <w:r>
        <w:rPr>
          <w:rFonts w:hint="eastAsia" w:ascii="仿宋" w:hAnsi="仿宋" w:eastAsia="仿宋"/>
          <w:color w:val="000000" w:themeColor="text1"/>
          <w:spacing w:val="-4"/>
          <w:sz w:val="32"/>
          <w:szCs w:val="32"/>
        </w:rPr>
        <w:t xml:space="preserve"> </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安装检查设备</w:t>
      </w:r>
      <w:r>
        <w:rPr>
          <w:rFonts w:hint="eastAsia" w:ascii="仿宋" w:hAnsi="仿宋" w:eastAsia="仿宋"/>
          <w:color w:val="000000" w:themeColor="text1"/>
          <w:spacing w:val="-4"/>
          <w:sz w:val="32"/>
          <w:szCs w:val="32"/>
          <w:lang w:val="en-US" w:eastAsia="zh-CN"/>
        </w:rPr>
        <w:t>,预期指标值</w:t>
      </w:r>
      <w:r>
        <w:rPr>
          <w:rFonts w:hint="eastAsia" w:ascii="仿宋" w:hAnsi="仿宋" w:eastAsia="仿宋"/>
          <w:color w:val="000000" w:themeColor="text1"/>
          <w:spacing w:val="-4"/>
          <w:sz w:val="32"/>
          <w:szCs w:val="32"/>
        </w:rPr>
        <w:t>≥5套</w:t>
      </w:r>
      <w:r>
        <w:rPr>
          <w:rFonts w:hint="eastAsia" w:ascii="仿宋" w:hAnsi="仿宋" w:eastAsia="仿宋"/>
          <w:color w:val="000000" w:themeColor="text1"/>
          <w:spacing w:val="-4"/>
          <w:sz w:val="32"/>
          <w:szCs w:val="32"/>
          <w:lang w:val="en-US" w:eastAsia="zh-CN"/>
        </w:rPr>
        <w:t>,实际完成指标值</w:t>
      </w:r>
      <w:r>
        <w:rPr>
          <w:rFonts w:hint="eastAsia" w:ascii="仿宋" w:hAnsi="仿宋" w:eastAsia="仿宋"/>
          <w:color w:val="000000" w:themeColor="text1"/>
          <w:spacing w:val="-4"/>
          <w:sz w:val="32"/>
          <w:szCs w:val="32"/>
        </w:rPr>
        <w:t>5套</w:t>
      </w:r>
    </w:p>
    <w:p>
      <w:pPr>
        <w:adjustRightInd w:val="0"/>
        <w:snapToGrid w:val="0"/>
        <w:spacing w:line="560" w:lineRule="exact"/>
        <w:ind w:firstLine="624" w:firstLineChars="200"/>
        <w:rPr>
          <w:rFonts w:hint="eastAsia"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2、购买办公设备，预期指标值</w:t>
      </w:r>
      <w:r>
        <w:rPr>
          <w:rFonts w:hint="eastAsia" w:ascii="仿宋" w:hAnsi="仿宋" w:eastAsia="仿宋"/>
          <w:color w:val="000000" w:themeColor="text1"/>
          <w:spacing w:val="-4"/>
          <w:sz w:val="32"/>
          <w:szCs w:val="32"/>
        </w:rPr>
        <w:t>≥</w:t>
      </w:r>
      <w:r>
        <w:rPr>
          <w:rFonts w:hint="eastAsia" w:ascii="仿宋" w:hAnsi="仿宋" w:eastAsia="仿宋"/>
          <w:color w:val="000000" w:themeColor="text1"/>
          <w:spacing w:val="-4"/>
          <w:sz w:val="32"/>
          <w:szCs w:val="32"/>
          <w:lang w:val="en-US" w:eastAsia="zh-CN"/>
        </w:rPr>
        <w:t>3</w:t>
      </w:r>
      <w:r>
        <w:rPr>
          <w:rFonts w:hint="eastAsia" w:ascii="仿宋" w:hAnsi="仿宋" w:eastAsia="仿宋"/>
          <w:color w:val="000000" w:themeColor="text1"/>
          <w:spacing w:val="-4"/>
          <w:sz w:val="32"/>
          <w:szCs w:val="32"/>
        </w:rPr>
        <w:t>套</w:t>
      </w:r>
      <w:r>
        <w:rPr>
          <w:rFonts w:hint="eastAsia" w:ascii="仿宋" w:hAnsi="仿宋" w:eastAsia="仿宋"/>
          <w:color w:val="000000" w:themeColor="text1"/>
          <w:spacing w:val="-4"/>
          <w:sz w:val="32"/>
          <w:szCs w:val="32"/>
          <w:lang w:eastAsia="zh-CN"/>
        </w:rPr>
        <w:t>，</w:t>
      </w:r>
      <w:r>
        <w:rPr>
          <w:rFonts w:hint="eastAsia" w:ascii="仿宋" w:hAnsi="仿宋" w:eastAsia="仿宋"/>
          <w:color w:val="000000" w:themeColor="text1"/>
          <w:spacing w:val="-4"/>
          <w:sz w:val="32"/>
          <w:szCs w:val="32"/>
          <w:lang w:val="en-US" w:eastAsia="zh-CN"/>
        </w:rPr>
        <w:t>实际完成指标值3</w:t>
      </w:r>
      <w:r>
        <w:rPr>
          <w:rFonts w:hint="eastAsia" w:ascii="仿宋" w:hAnsi="仿宋" w:eastAsia="仿宋"/>
          <w:color w:val="000000" w:themeColor="text1"/>
          <w:spacing w:val="-4"/>
          <w:sz w:val="32"/>
          <w:szCs w:val="32"/>
        </w:rPr>
        <w:t>套</w:t>
      </w:r>
    </w:p>
    <w:p>
      <w:pPr>
        <w:adjustRightInd w:val="0"/>
        <w:snapToGrid w:val="0"/>
        <w:spacing w:line="560" w:lineRule="exact"/>
        <w:ind w:firstLine="624" w:firstLineChars="200"/>
        <w:rPr>
          <w:rFonts w:hint="eastAsia"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质量指标： 支出完成率100﹪；</w:t>
      </w:r>
    </w:p>
    <w:p>
      <w:pPr>
        <w:adjustRightInd w:val="0"/>
        <w:snapToGrid w:val="0"/>
        <w:spacing w:line="560" w:lineRule="exact"/>
        <w:ind w:firstLine="624" w:firstLineChars="200"/>
        <w:rPr>
          <w:rFonts w:hint="eastAsia"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成本指标：</w:t>
      </w:r>
    </w:p>
    <w:p>
      <w:pPr>
        <w:adjustRightInd w:val="0"/>
        <w:snapToGrid w:val="0"/>
        <w:spacing w:line="560" w:lineRule="exact"/>
        <w:ind w:firstLine="624" w:firstLineChars="200"/>
        <w:rPr>
          <w:rFonts w:hint="eastAsia"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检察工作相关支出31万元</w:t>
      </w:r>
    </w:p>
    <w:p>
      <w:pPr>
        <w:adjustRightInd w:val="0"/>
        <w:snapToGrid w:val="0"/>
        <w:spacing w:line="560" w:lineRule="exact"/>
        <w:ind w:firstLine="624" w:firstLineChars="200"/>
        <w:rPr>
          <w:rFonts w:hint="eastAsia" w:ascii="仿宋" w:hAnsi="仿宋" w:eastAsia="仿宋"/>
          <w:color w:val="000000" w:themeColor="text1"/>
          <w:spacing w:val="-4"/>
          <w:sz w:val="32"/>
          <w:szCs w:val="32"/>
          <w:lang w:val="en-US" w:eastAsia="zh-CN"/>
        </w:rPr>
      </w:pPr>
      <w:r>
        <w:rPr>
          <w:rFonts w:hint="eastAsia" w:ascii="仿宋" w:hAnsi="仿宋" w:eastAsia="仿宋"/>
          <w:color w:val="000000" w:themeColor="text1"/>
          <w:spacing w:val="-4"/>
          <w:sz w:val="32"/>
          <w:szCs w:val="32"/>
          <w:lang w:val="en-US" w:eastAsia="zh-CN"/>
        </w:rPr>
        <w:t>设备经费62.29万元</w:t>
      </w:r>
    </w:p>
    <w:p>
      <w:pPr>
        <w:adjustRightInd w:val="0"/>
        <w:snapToGrid w:val="0"/>
        <w:spacing w:line="560" w:lineRule="exact"/>
        <w:ind w:firstLine="624" w:firstLineChars="20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效益性：各项业务工作能力不断提升，创造良好环境，保障人民群众安居乐业 效果显著。</w:t>
      </w:r>
    </w:p>
    <w:bookmarkEnd w:id="0"/>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不存在未完成情况</w:t>
      </w:r>
      <w:r>
        <w:rPr>
          <w:rFonts w:ascii="仿宋" w:hAnsi="仿宋" w:eastAsia="仿宋"/>
          <w:color w:val="000000" w:themeColor="text1"/>
          <w:spacing w:val="-4"/>
          <w:sz w:val="32"/>
          <w:szCs w:val="32"/>
        </w:rPr>
        <w:t>:</w:t>
      </w:r>
      <w:r>
        <w:rPr>
          <w:rFonts w:hint="eastAsia" w:ascii="仿宋" w:hAnsi="仿宋" w:eastAsia="仿宋"/>
          <w:color w:val="000000" w:themeColor="text1"/>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936" w:firstLineChars="300"/>
        <w:outlineLvl w:val="0"/>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numPr>
          <w:ilvl w:val="0"/>
          <w:numId w:val="2"/>
        </w:numPr>
        <w:adjustRightInd w:val="0"/>
        <w:snapToGrid w:val="0"/>
        <w:spacing w:line="560" w:lineRule="exact"/>
        <w:ind w:firstLine="627" w:firstLineChars="200"/>
        <w:outlineLvl w:val="0"/>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Fonts w:hint="eastAsia" w:ascii="仿宋" w:hAnsi="仿宋" w:eastAsia="仿宋"/>
          <w:bCs/>
          <w:spacing w:val="-4"/>
          <w:sz w:val="32"/>
          <w:szCs w:val="32"/>
          <w:lang w:eastAsia="zh-CN"/>
        </w:rPr>
      </w:pPr>
      <w:r>
        <w:rPr>
          <w:rFonts w:hint="eastAsia" w:ascii="仿宋" w:hAnsi="仿宋" w:eastAsia="仿宋"/>
          <w:bCs/>
          <w:spacing w:val="-4"/>
          <w:sz w:val="32"/>
          <w:szCs w:val="32"/>
        </w:rPr>
        <w:t>1、主要经验及做法</w:t>
      </w:r>
      <w:r>
        <w:rPr>
          <w:rFonts w:hint="eastAsia" w:ascii="仿宋" w:hAnsi="仿宋" w:eastAsia="仿宋"/>
          <w:bCs/>
          <w:spacing w:val="-4"/>
          <w:sz w:val="32"/>
          <w:szCs w:val="32"/>
          <w:lang w:eastAsia="zh-CN"/>
        </w:rPr>
        <w:t>：</w:t>
      </w:r>
      <w:r>
        <w:rPr>
          <w:rFonts w:hint="eastAsia" w:ascii="仿宋" w:hAnsi="仿宋" w:eastAsia="仿宋"/>
          <w:bCs/>
          <w:spacing w:val="-4"/>
          <w:sz w:val="32"/>
          <w:szCs w:val="32"/>
          <w:lang w:val="en-US" w:eastAsia="zh-CN"/>
        </w:rPr>
        <w:t>严格按照资金使用范围进行支付，落实项目的实际进度</w:t>
      </w:r>
      <w:r>
        <w:rPr>
          <w:rFonts w:hint="eastAsia" w:ascii="仿宋" w:hAnsi="仿宋" w:eastAsia="仿宋"/>
          <w:bCs/>
          <w:spacing w:val="-4"/>
          <w:sz w:val="32"/>
          <w:szCs w:val="32"/>
          <w:lang w:eastAsia="zh-CN"/>
        </w:rPr>
        <w:t>。</w:t>
      </w:r>
    </w:p>
    <w:p>
      <w:pPr>
        <w:keepNext w:val="0"/>
        <w:keepLines w:val="0"/>
        <w:pageBreakBefore w:val="0"/>
        <w:widowControl w:val="0"/>
        <w:kinsoku/>
        <w:wordWrap/>
        <w:overflowPunct/>
        <w:topLinePunct w:val="0"/>
        <w:autoSpaceDE/>
        <w:autoSpaceDN/>
        <w:bidi w:val="0"/>
        <w:spacing w:line="500" w:lineRule="exact"/>
        <w:ind w:firstLine="624" w:firstLineChars="200"/>
        <w:textAlignment w:val="auto"/>
        <w:rPr>
          <w:rFonts w:hint="eastAsia" w:ascii="仿宋" w:hAnsi="仿宋" w:eastAsia="仿宋"/>
          <w:bCs/>
          <w:spacing w:val="-4"/>
          <w:sz w:val="32"/>
          <w:szCs w:val="32"/>
          <w:lang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eastAsia="zh-CN"/>
        </w:rPr>
        <w:t>：</w:t>
      </w:r>
      <w:r>
        <w:rPr>
          <w:rFonts w:hint="eastAsia" w:ascii="仿宋_GB2312" w:eastAsia="仿宋_GB2312"/>
          <w:spacing w:val="-4"/>
          <w:sz w:val="32"/>
          <w:szCs w:val="32"/>
        </w:rPr>
        <w:t>对项目绩效认识不到位，存在集中花钱办事的情况。</w:t>
      </w:r>
    </w:p>
    <w:p>
      <w:pPr>
        <w:keepNext w:val="0"/>
        <w:keepLines w:val="0"/>
        <w:pageBreakBefore w:val="0"/>
        <w:widowControl w:val="0"/>
        <w:kinsoku/>
        <w:wordWrap/>
        <w:overflowPunct/>
        <w:topLinePunct w:val="0"/>
        <w:autoSpaceDE/>
        <w:autoSpaceDN/>
        <w:bidi w:val="0"/>
        <w:spacing w:line="500" w:lineRule="exact"/>
        <w:ind w:firstLine="624" w:firstLineChars="200"/>
        <w:textAlignment w:val="auto"/>
        <w:rPr>
          <w:rFonts w:ascii="仿宋_GB2312" w:eastAsia="仿宋_GB2312"/>
          <w:spacing w:val="-4"/>
          <w:sz w:val="32"/>
          <w:szCs w:val="32"/>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w:t>
      </w:r>
      <w:r>
        <w:rPr>
          <w:rFonts w:hint="eastAsia" w:ascii="仿宋_GB2312" w:eastAsia="仿宋_GB2312"/>
          <w:spacing w:val="-4"/>
          <w:sz w:val="32"/>
          <w:szCs w:val="32"/>
        </w:rPr>
        <w:t>一是科学地做好支出进度安排，并在实施过程加强监督，加快支出进度。二是做好预算编制安排。</w:t>
      </w:r>
    </w:p>
    <w:p>
      <w:pPr>
        <w:keepNext w:val="0"/>
        <w:keepLines w:val="0"/>
        <w:pageBreakBefore w:val="0"/>
        <w:widowControl w:val="0"/>
        <w:kinsoku/>
        <w:wordWrap/>
        <w:overflowPunct/>
        <w:topLinePunct w:val="0"/>
        <w:autoSpaceDE/>
        <w:autoSpaceDN/>
        <w:bidi w:val="0"/>
        <w:adjustRightInd w:val="0"/>
        <w:snapToGrid w:val="0"/>
        <w:spacing w:line="560" w:lineRule="exact"/>
        <w:ind w:firstLine="627" w:firstLineChars="200"/>
        <w:textAlignment w:val="auto"/>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20"/>
          <w:rFonts w:hint="eastAsia" w:ascii="黑体" w:hAnsi="黑体" w:eastAsia="黑体"/>
          <w:b w:val="0"/>
          <w:spacing w:val="-4"/>
          <w:sz w:val="32"/>
          <w:szCs w:val="32"/>
        </w:rPr>
        <w:t>六、项目评价工作情况</w:t>
      </w:r>
    </w:p>
    <w:p>
      <w:pPr>
        <w:adjustRightInd w:val="0"/>
        <w:snapToGrid w:val="0"/>
        <w:spacing w:line="560" w:lineRule="exact"/>
        <w:ind w:firstLine="624" w:firstLineChars="200"/>
        <w:outlineLvl w:val="0"/>
        <w:rPr>
          <w:rFonts w:hint="eastAsia"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本次项目评价通过文件研读、实地调研、数据分析等方式，全面了解项目资金的使用效率和效果，项目管理过程规范，完成了预期绩效目标。同时，通过开展自我评价总结了经验和教训。</w:t>
      </w:r>
    </w:p>
    <w:p>
      <w:pPr>
        <w:adjustRightInd w:val="0"/>
        <w:snapToGrid w:val="0"/>
        <w:spacing w:line="560" w:lineRule="exact"/>
        <w:ind w:firstLine="624" w:firstLineChars="200"/>
        <w:outlineLvl w:val="0"/>
        <w:rPr>
          <w:rStyle w:val="20"/>
          <w:rFonts w:ascii="黑体" w:hAnsi="黑体" w:eastAsia="黑体"/>
          <w:b w:val="0"/>
          <w:spacing w:val="-4"/>
          <w:sz w:val="32"/>
          <w:szCs w:val="32"/>
        </w:rPr>
      </w:pPr>
      <w:r>
        <w:rPr>
          <w:rStyle w:val="20"/>
          <w:rFonts w:hint="eastAsia" w:ascii="黑体" w:hAnsi="黑体" w:eastAsia="黑体"/>
          <w:b w:val="0"/>
          <w:spacing w:val="-4"/>
          <w:sz w:val="32"/>
          <w:szCs w:val="32"/>
        </w:rPr>
        <w:t>七、附表</w:t>
      </w:r>
    </w:p>
    <w:p>
      <w:pPr>
        <w:adjustRightInd w:val="0"/>
        <w:snapToGrid w:val="0"/>
        <w:spacing w:line="560" w:lineRule="exact"/>
        <w:ind w:firstLine="624" w:firstLineChars="200"/>
        <w:rPr>
          <w:rStyle w:val="20"/>
          <w:rFonts w:hint="eastAsia" w:ascii="仿宋" w:hAnsi="仿宋" w:eastAsia="仿宋"/>
          <w:color w:val="FF0000"/>
          <w:spacing w:val="-4"/>
          <w:sz w:val="32"/>
          <w:szCs w:val="32"/>
        </w:rPr>
      </w:pPr>
      <w:r>
        <w:rPr>
          <w:rStyle w:val="20"/>
          <w:rFonts w:hint="eastAsia" w:ascii="仿宋" w:hAnsi="仿宋" w:eastAsia="仿宋"/>
          <w:b w:val="0"/>
          <w:spacing w:val="-4"/>
          <w:sz w:val="32"/>
          <w:szCs w:val="32"/>
        </w:rPr>
        <w:t>《项目支出绩效目标自评表》</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AA3366"/>
    <w:multiLevelType w:val="singleLevel"/>
    <w:tmpl w:val="AFAA3366"/>
    <w:lvl w:ilvl="0" w:tentative="0">
      <w:start w:val="2"/>
      <w:numFmt w:val="chineseCounting"/>
      <w:suff w:val="nothing"/>
      <w:lvlText w:val="（%1）"/>
      <w:lvlJc w:val="left"/>
      <w:rPr>
        <w:rFonts w:hint="eastAsia"/>
      </w:rPr>
    </w:lvl>
  </w:abstractNum>
  <w:abstractNum w:abstractNumId="1">
    <w:nsid w:val="E77C714F"/>
    <w:multiLevelType w:val="singleLevel"/>
    <w:tmpl w:val="E77C71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7463"/>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4700D"/>
    <w:rsid w:val="00575CFE"/>
    <w:rsid w:val="00583AFC"/>
    <w:rsid w:val="00592D09"/>
    <w:rsid w:val="00675D58"/>
    <w:rsid w:val="006C76A1"/>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4B1220B"/>
    <w:rsid w:val="0607304F"/>
    <w:rsid w:val="07955227"/>
    <w:rsid w:val="089004E3"/>
    <w:rsid w:val="09B42C33"/>
    <w:rsid w:val="09D33BAC"/>
    <w:rsid w:val="0AB56CE2"/>
    <w:rsid w:val="0BC97F62"/>
    <w:rsid w:val="0C745DBF"/>
    <w:rsid w:val="0D510720"/>
    <w:rsid w:val="0EB107EC"/>
    <w:rsid w:val="0FB51C8A"/>
    <w:rsid w:val="10133AEA"/>
    <w:rsid w:val="128B2271"/>
    <w:rsid w:val="14F30E6E"/>
    <w:rsid w:val="150076B3"/>
    <w:rsid w:val="15D93A0A"/>
    <w:rsid w:val="16313D34"/>
    <w:rsid w:val="17472726"/>
    <w:rsid w:val="18F779FA"/>
    <w:rsid w:val="1CB0371C"/>
    <w:rsid w:val="1CEC100A"/>
    <w:rsid w:val="20AA1FDC"/>
    <w:rsid w:val="21454B50"/>
    <w:rsid w:val="21A03965"/>
    <w:rsid w:val="2218559C"/>
    <w:rsid w:val="22826BBB"/>
    <w:rsid w:val="24D30C72"/>
    <w:rsid w:val="275833BE"/>
    <w:rsid w:val="28C46BE6"/>
    <w:rsid w:val="29830620"/>
    <w:rsid w:val="2AD90D6B"/>
    <w:rsid w:val="2B380DE8"/>
    <w:rsid w:val="2D501C6F"/>
    <w:rsid w:val="2F2502B3"/>
    <w:rsid w:val="2F736F82"/>
    <w:rsid w:val="30F52283"/>
    <w:rsid w:val="36225112"/>
    <w:rsid w:val="36F532E0"/>
    <w:rsid w:val="38E13DB5"/>
    <w:rsid w:val="397F4FE8"/>
    <w:rsid w:val="3A9A1EA5"/>
    <w:rsid w:val="3BC402F7"/>
    <w:rsid w:val="3CFD2898"/>
    <w:rsid w:val="3E2A6D6C"/>
    <w:rsid w:val="3EB62A07"/>
    <w:rsid w:val="3EDE4D82"/>
    <w:rsid w:val="3F314560"/>
    <w:rsid w:val="4187138B"/>
    <w:rsid w:val="41E117A0"/>
    <w:rsid w:val="42C9790F"/>
    <w:rsid w:val="450B1D3B"/>
    <w:rsid w:val="48EF1EDE"/>
    <w:rsid w:val="498843DD"/>
    <w:rsid w:val="4B573727"/>
    <w:rsid w:val="4E8F075C"/>
    <w:rsid w:val="4EFD6A38"/>
    <w:rsid w:val="4FFE67A0"/>
    <w:rsid w:val="52565B8E"/>
    <w:rsid w:val="535F5E44"/>
    <w:rsid w:val="560A7BAE"/>
    <w:rsid w:val="594F2689"/>
    <w:rsid w:val="5A7F02EA"/>
    <w:rsid w:val="5F246BCC"/>
    <w:rsid w:val="61C62E0B"/>
    <w:rsid w:val="659B43A4"/>
    <w:rsid w:val="65EE0BB3"/>
    <w:rsid w:val="671C4CD3"/>
    <w:rsid w:val="689738A6"/>
    <w:rsid w:val="6D6D7A47"/>
    <w:rsid w:val="6F0922FF"/>
    <w:rsid w:val="7275576B"/>
    <w:rsid w:val="74632CEC"/>
    <w:rsid w:val="75AE113C"/>
    <w:rsid w:val="75CE3886"/>
    <w:rsid w:val="77223F9C"/>
    <w:rsid w:val="77D20ADF"/>
    <w:rsid w:val="78B779CF"/>
    <w:rsid w:val="7F274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7"/>
    <w:unhideWhenUsed/>
    <w:qFormat/>
    <w:uiPriority w:val="99"/>
    <w:rPr>
      <w:rFonts w:ascii="宋体"/>
      <w:sz w:val="18"/>
      <w:szCs w:val="18"/>
    </w:rPr>
  </w:style>
  <w:style w:type="paragraph" w:styleId="12">
    <w:name w:val="Balloon Text"/>
    <w:basedOn w:val="1"/>
    <w:link w:val="48"/>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widowControl/>
      <w:spacing w:before="100" w:beforeAutospacing="1" w:after="240"/>
      <w:jc w:val="left"/>
    </w:pPr>
    <w:rPr>
      <w:rFonts w:ascii="宋体" w:hAnsi="宋体" w:cs="宋体"/>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2"/>
    <w:qFormat/>
    <w:uiPriority w:val="9"/>
    <w:rPr>
      <w:rFonts w:asciiTheme="majorHAnsi" w:hAnsiTheme="majorHAnsi" w:eastAsiaTheme="majorEastAsia"/>
      <w:b/>
      <w:bCs/>
      <w:kern w:val="32"/>
      <w:sz w:val="32"/>
      <w:szCs w:val="32"/>
    </w:rPr>
  </w:style>
  <w:style w:type="character" w:customStyle="1" w:styleId="23">
    <w:name w:val="标题 2 Char"/>
    <w:basedOn w:val="19"/>
    <w:link w:val="3"/>
    <w:semiHidden/>
    <w:qFormat/>
    <w:uiPriority w:val="9"/>
    <w:rPr>
      <w:rFonts w:asciiTheme="majorHAnsi" w:hAnsiTheme="majorHAnsi" w:eastAsiaTheme="majorEastAsia"/>
      <w:b/>
      <w:bCs/>
      <w:i/>
      <w:iCs/>
      <w:sz w:val="28"/>
      <w:szCs w:val="28"/>
    </w:rPr>
  </w:style>
  <w:style w:type="character" w:customStyle="1" w:styleId="24">
    <w:name w:val="标题 3 Char"/>
    <w:basedOn w:val="19"/>
    <w:link w:val="4"/>
    <w:semiHidden/>
    <w:qFormat/>
    <w:uiPriority w:val="9"/>
    <w:rPr>
      <w:rFonts w:asciiTheme="majorHAnsi" w:hAnsiTheme="majorHAnsi" w:eastAsiaTheme="majorEastAsia"/>
      <w:b/>
      <w:bCs/>
      <w:sz w:val="26"/>
      <w:szCs w:val="26"/>
    </w:rPr>
  </w:style>
  <w:style w:type="character" w:customStyle="1" w:styleId="25">
    <w:name w:val="标题 4 Char"/>
    <w:basedOn w:val="19"/>
    <w:link w:val="5"/>
    <w:semiHidden/>
    <w:qFormat/>
    <w:uiPriority w:val="9"/>
    <w:rPr>
      <w:b/>
      <w:bCs/>
      <w:sz w:val="28"/>
      <w:szCs w:val="28"/>
    </w:rPr>
  </w:style>
  <w:style w:type="character" w:customStyle="1" w:styleId="26">
    <w:name w:val="标题 5 Char"/>
    <w:basedOn w:val="19"/>
    <w:link w:val="6"/>
    <w:semiHidden/>
    <w:qFormat/>
    <w:uiPriority w:val="9"/>
    <w:rPr>
      <w:b/>
      <w:bCs/>
      <w:i/>
      <w:iCs/>
      <w:sz w:val="26"/>
      <w:szCs w:val="26"/>
    </w:rPr>
  </w:style>
  <w:style w:type="character" w:customStyle="1" w:styleId="27">
    <w:name w:val="标题 6 Char"/>
    <w:basedOn w:val="19"/>
    <w:link w:val="7"/>
    <w:semiHidden/>
    <w:qFormat/>
    <w:uiPriority w:val="9"/>
    <w:rPr>
      <w:b/>
      <w:bCs/>
    </w:rPr>
  </w:style>
  <w:style w:type="character" w:customStyle="1" w:styleId="28">
    <w:name w:val="标题 7 Char"/>
    <w:basedOn w:val="19"/>
    <w:link w:val="8"/>
    <w:semiHidden/>
    <w:qFormat/>
    <w:uiPriority w:val="9"/>
    <w:rPr>
      <w:sz w:val="24"/>
      <w:szCs w:val="24"/>
    </w:rPr>
  </w:style>
  <w:style w:type="character" w:customStyle="1" w:styleId="29">
    <w:name w:val="标题 8 Char"/>
    <w:basedOn w:val="19"/>
    <w:link w:val="9"/>
    <w:semiHidden/>
    <w:qFormat/>
    <w:uiPriority w:val="9"/>
    <w:rPr>
      <w:i/>
      <w:iCs/>
      <w:sz w:val="24"/>
      <w:szCs w:val="24"/>
    </w:rPr>
  </w:style>
  <w:style w:type="character" w:customStyle="1" w:styleId="30">
    <w:name w:val="标题 9 Char"/>
    <w:basedOn w:val="19"/>
    <w:link w:val="10"/>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5"/>
    <w:qFormat/>
    <w:uiPriority w:val="11"/>
    <w:rPr>
      <w:rFonts w:asciiTheme="majorHAnsi" w:hAnsiTheme="majorHAnsi" w:eastAsiaTheme="majorEastAsia"/>
      <w:sz w:val="24"/>
      <w:szCs w:val="24"/>
    </w:rPr>
  </w:style>
  <w:style w:type="paragraph" w:customStyle="1"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customStyle="1"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9"/>
    <w:qFormat/>
    <w:uiPriority w:val="21"/>
    <w:rPr>
      <w:b/>
      <w:i/>
      <w:sz w:val="24"/>
      <w:szCs w:val="24"/>
      <w:u w:val="single"/>
    </w:rPr>
  </w:style>
  <w:style w:type="character" w:customStyle="1" w:styleId="41">
    <w:name w:val="Subtle Reference"/>
    <w:basedOn w:val="19"/>
    <w:qFormat/>
    <w:uiPriority w:val="31"/>
    <w:rPr>
      <w:sz w:val="24"/>
      <w:szCs w:val="24"/>
      <w:u w:val="single"/>
    </w:rPr>
  </w:style>
  <w:style w:type="character" w:customStyle="1" w:styleId="42">
    <w:name w:val="Intense Reference"/>
    <w:basedOn w:val="19"/>
    <w:qFormat/>
    <w:uiPriority w:val="32"/>
    <w:rPr>
      <w:b/>
      <w:sz w:val="24"/>
      <w:u w:val="single"/>
    </w:rPr>
  </w:style>
  <w:style w:type="character" w:customStyle="1" w:styleId="43">
    <w:name w:val="Book Title"/>
    <w:basedOn w:val="19"/>
    <w:qFormat/>
    <w:uiPriority w:val="33"/>
    <w:rPr>
      <w:rFonts w:asciiTheme="majorHAnsi" w:hAnsiTheme="majorHAnsi" w:eastAsiaTheme="majorEastAsia"/>
      <w:b/>
      <w:i/>
      <w:sz w:val="24"/>
      <w:szCs w:val="24"/>
    </w:rPr>
  </w:style>
  <w:style w:type="paragraph" w:customStyle="1" w:styleId="44">
    <w:name w:val="TOC Heading"/>
    <w:basedOn w:val="2"/>
    <w:next w:val="1"/>
    <w:unhideWhenUsed/>
    <w:qFormat/>
    <w:uiPriority w:val="39"/>
    <w:pPr>
      <w:outlineLvl w:val="9"/>
    </w:pPr>
    <w:rPr>
      <w:lang w:eastAsia="en-US" w:bidi="en-US"/>
    </w:rPr>
  </w:style>
  <w:style w:type="character" w:customStyle="1" w:styleId="45">
    <w:name w:val="页眉 Char"/>
    <w:basedOn w:val="19"/>
    <w:link w:val="14"/>
    <w:qFormat/>
    <w:uiPriority w:val="99"/>
    <w:rPr>
      <w:rFonts w:ascii="Calibri" w:hAnsi="Calibri" w:eastAsia="宋体"/>
      <w:kern w:val="2"/>
      <w:sz w:val="18"/>
      <w:szCs w:val="18"/>
    </w:rPr>
  </w:style>
  <w:style w:type="character" w:customStyle="1" w:styleId="46">
    <w:name w:val="页脚 Char"/>
    <w:basedOn w:val="19"/>
    <w:link w:val="13"/>
    <w:qFormat/>
    <w:uiPriority w:val="99"/>
    <w:rPr>
      <w:rFonts w:ascii="Calibri" w:hAnsi="Calibri" w:eastAsia="宋体"/>
      <w:kern w:val="2"/>
      <w:sz w:val="18"/>
      <w:szCs w:val="18"/>
    </w:rPr>
  </w:style>
  <w:style w:type="character" w:customStyle="1" w:styleId="47">
    <w:name w:val="文档结构图 Char"/>
    <w:basedOn w:val="19"/>
    <w:link w:val="11"/>
    <w:semiHidden/>
    <w:qFormat/>
    <w:uiPriority w:val="99"/>
    <w:rPr>
      <w:rFonts w:ascii="宋体" w:hAnsi="Times New Roman" w:eastAsia="宋体"/>
      <w:kern w:val="2"/>
      <w:sz w:val="18"/>
      <w:szCs w:val="18"/>
    </w:rPr>
  </w:style>
  <w:style w:type="character" w:customStyle="1" w:styleId="48">
    <w:name w:val="批注框文本 Char"/>
    <w:basedOn w:val="19"/>
    <w:link w:val="12"/>
    <w:semiHidden/>
    <w:qFormat/>
    <w:uiPriority w:val="99"/>
    <w:rPr>
      <w:rFonts w:ascii="Times New Roman" w:hAnsi="Times New Roman" w:eastAsia="宋体"/>
      <w:kern w:val="2"/>
      <w:sz w:val="18"/>
      <w:szCs w:val="18"/>
    </w:rPr>
  </w:style>
  <w:style w:type="paragraph" w:customStyle="1" w:styleId="49">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50">
    <w:name w:val="font21"/>
    <w:basedOn w:val="19"/>
    <w:qFormat/>
    <w:uiPriority w:val="0"/>
    <w:rPr>
      <w:rFonts w:hint="default" w:ascii="Times New Roman" w:hAnsi="Times New Roman" w:cs="Times New Roman"/>
      <w:color w:val="000000"/>
      <w:sz w:val="24"/>
      <w:szCs w:val="24"/>
      <w:u w:val="none"/>
    </w:rPr>
  </w:style>
  <w:style w:type="character" w:customStyle="1" w:styleId="51">
    <w:name w:val="font01"/>
    <w:basedOn w:val="19"/>
    <w:qFormat/>
    <w:uiPriority w:val="0"/>
    <w:rPr>
      <w:rFonts w:hint="eastAsia" w:ascii="宋体" w:hAnsi="宋体" w:eastAsia="宋体" w:cs="宋体"/>
      <w:color w:val="000000"/>
      <w:sz w:val="24"/>
      <w:szCs w:val="24"/>
      <w:u w:val="none"/>
    </w:rPr>
  </w:style>
  <w:style w:type="character" w:customStyle="1" w:styleId="52">
    <w:name w:val="font11"/>
    <w:basedOn w:val="19"/>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2</TotalTime>
  <ScaleCrop>false</ScaleCrop>
  <LinksUpToDate>false</LinksUpToDate>
  <CharactersWithSpaces>1916</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2019-09-19T11:31:58Z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